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5" w:rsidRPr="000034B5" w:rsidRDefault="00FC200A" w:rsidP="000034B5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  <w:lang w:val="it-IT"/>
        </w:rPr>
      </w:pPr>
      <w:r>
        <w:rPr>
          <w:rFonts w:cs="Times-Bold"/>
          <w:b/>
          <w:bCs/>
          <w:sz w:val="24"/>
          <w:szCs w:val="24"/>
          <w:lang w:val="it-IT"/>
        </w:rPr>
        <w:t>Allegato al Verbale d’intesa 23</w:t>
      </w:r>
      <w:r w:rsidR="000034B5">
        <w:rPr>
          <w:rFonts w:cs="Times-Bold"/>
          <w:b/>
          <w:bCs/>
          <w:sz w:val="24"/>
          <w:szCs w:val="24"/>
          <w:lang w:val="it-IT"/>
        </w:rPr>
        <w:t xml:space="preserve"> aprile 2013</w:t>
      </w:r>
    </w:p>
    <w:p w:rsidR="000034B5" w:rsidRDefault="000034B5" w:rsidP="000034B5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8"/>
          <w:szCs w:val="28"/>
          <w:lang w:val="it-IT"/>
        </w:rPr>
      </w:pPr>
    </w:p>
    <w:p w:rsidR="000034B5" w:rsidRDefault="000034B5" w:rsidP="00893860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  <w:lang w:val="it-IT"/>
        </w:rPr>
      </w:pPr>
    </w:p>
    <w:p w:rsidR="00281F53" w:rsidRPr="00893860" w:rsidRDefault="00281F53" w:rsidP="00893860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  <w:lang w:val="it-IT"/>
        </w:rPr>
      </w:pPr>
      <w:r w:rsidRPr="00893860">
        <w:rPr>
          <w:rFonts w:cs="Times-Bold"/>
          <w:b/>
          <w:bCs/>
          <w:sz w:val="28"/>
          <w:szCs w:val="28"/>
          <w:lang w:val="it-IT"/>
        </w:rPr>
        <w:t xml:space="preserve">COMMISSIONE </w:t>
      </w:r>
      <w:proofErr w:type="spellStart"/>
      <w:r w:rsidRPr="00893860">
        <w:rPr>
          <w:rFonts w:cs="Times-Bold"/>
          <w:b/>
          <w:bCs/>
          <w:sz w:val="28"/>
          <w:szCs w:val="28"/>
          <w:lang w:val="it-IT"/>
        </w:rPr>
        <w:t>DI</w:t>
      </w:r>
      <w:proofErr w:type="spellEnd"/>
      <w:r w:rsidRPr="00893860">
        <w:rPr>
          <w:rFonts w:cs="Times-Bold"/>
          <w:b/>
          <w:bCs/>
          <w:sz w:val="28"/>
          <w:szCs w:val="28"/>
          <w:lang w:val="it-IT"/>
        </w:rPr>
        <w:t xml:space="preserve"> VIGILANZA SUI FONDI PENSIONE</w:t>
      </w:r>
    </w:p>
    <w:p w:rsidR="00281F53" w:rsidRDefault="00281F53" w:rsidP="00893860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  <w:lang w:val="it-IT"/>
        </w:rPr>
      </w:pPr>
      <w:r w:rsidRPr="00893860">
        <w:rPr>
          <w:rFonts w:cs="Times-Bold"/>
          <w:b/>
          <w:bCs/>
          <w:sz w:val="28"/>
          <w:szCs w:val="28"/>
          <w:lang w:val="it-IT"/>
        </w:rPr>
        <w:t>DELIBERAZIONE del 15 luglio 2010</w:t>
      </w:r>
    </w:p>
    <w:p w:rsidR="00893860" w:rsidRPr="00893860" w:rsidRDefault="00893860" w:rsidP="00893860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  <w:lang w:val="it-IT"/>
        </w:rPr>
      </w:pPr>
    </w:p>
    <w:p w:rsidR="00281F53" w:rsidRPr="00893860" w:rsidRDefault="00281F53" w:rsidP="00893860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6"/>
          <w:szCs w:val="26"/>
          <w:lang w:val="it-IT"/>
        </w:rPr>
      </w:pPr>
      <w:r w:rsidRPr="00893860">
        <w:rPr>
          <w:rFonts w:cs="Times-Bold"/>
          <w:b/>
          <w:bCs/>
          <w:sz w:val="26"/>
          <w:szCs w:val="26"/>
          <w:lang w:val="it-IT"/>
        </w:rPr>
        <w:t>“</w:t>
      </w:r>
      <w:r w:rsidRPr="00893860">
        <w:rPr>
          <w:rFonts w:cs="Times-BoldItalic"/>
          <w:b/>
          <w:bCs/>
          <w:i/>
          <w:iCs/>
          <w:sz w:val="26"/>
          <w:szCs w:val="26"/>
          <w:lang w:val="it-IT"/>
        </w:rPr>
        <w:t>Regolamento sulle procedure relative all’autorizzazione all’esercizio delle forme pensionistiche</w:t>
      </w:r>
      <w:r w:rsidR="00893860">
        <w:rPr>
          <w:rFonts w:cs="Times-BoldItalic"/>
          <w:b/>
          <w:bCs/>
          <w:i/>
          <w:iCs/>
          <w:sz w:val="26"/>
          <w:szCs w:val="26"/>
          <w:lang w:val="it-IT"/>
        </w:rPr>
        <w:t xml:space="preserve"> </w:t>
      </w:r>
      <w:r w:rsidRPr="00893860">
        <w:rPr>
          <w:rFonts w:cs="Times-BoldItalic"/>
          <w:b/>
          <w:bCs/>
          <w:i/>
          <w:iCs/>
          <w:sz w:val="26"/>
          <w:szCs w:val="26"/>
          <w:lang w:val="it-IT"/>
        </w:rPr>
        <w:t>complementari, alle modifiche degli statuti e regolamenti, al riconoscimento della</w:t>
      </w:r>
      <w:r w:rsidR="00893860">
        <w:rPr>
          <w:rFonts w:cs="Times-BoldItalic"/>
          <w:b/>
          <w:bCs/>
          <w:i/>
          <w:iCs/>
          <w:sz w:val="26"/>
          <w:szCs w:val="26"/>
          <w:lang w:val="it-IT"/>
        </w:rPr>
        <w:t xml:space="preserve"> </w:t>
      </w:r>
      <w:r w:rsidRPr="00893860">
        <w:rPr>
          <w:rFonts w:cs="Times-BoldItalic"/>
          <w:b/>
          <w:bCs/>
          <w:i/>
          <w:iCs/>
          <w:sz w:val="26"/>
          <w:szCs w:val="26"/>
          <w:lang w:val="it-IT"/>
        </w:rPr>
        <w:t>personalità giuridica, alle fusioni e cessioni e all’attività transfrontaliera”</w:t>
      </w:r>
    </w:p>
    <w:p w:rsidR="00281F53" w:rsidRDefault="00281F53" w:rsidP="00281F5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  <w:lang w:val="it-IT"/>
        </w:rPr>
      </w:pPr>
    </w:p>
    <w:p w:rsidR="00893860" w:rsidRPr="00893860" w:rsidRDefault="00893860" w:rsidP="00281F5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  <w:lang w:val="it-IT"/>
        </w:rPr>
      </w:pPr>
      <w:r>
        <w:rPr>
          <w:rFonts w:cs="Times-Bold"/>
          <w:b/>
          <w:bCs/>
          <w:sz w:val="24"/>
          <w:szCs w:val="24"/>
          <w:lang w:val="it-IT"/>
        </w:rPr>
        <w:t>…</w:t>
      </w:r>
    </w:p>
    <w:p w:rsidR="00281F53" w:rsidRPr="00893860" w:rsidRDefault="00281F53" w:rsidP="00893860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  <w:lang w:val="it-IT"/>
        </w:rPr>
      </w:pPr>
      <w:r w:rsidRPr="00893860">
        <w:rPr>
          <w:rFonts w:cs="Times-Bold"/>
          <w:b/>
          <w:bCs/>
          <w:sz w:val="24"/>
          <w:szCs w:val="24"/>
          <w:lang w:val="it-IT"/>
        </w:rPr>
        <w:t>SEZIONE V</w:t>
      </w:r>
    </w:p>
    <w:p w:rsidR="00281F53" w:rsidRPr="00893860" w:rsidRDefault="00281F53" w:rsidP="00893860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i/>
          <w:sz w:val="24"/>
          <w:szCs w:val="24"/>
          <w:lang w:val="it-IT"/>
        </w:rPr>
      </w:pPr>
      <w:r w:rsidRPr="00893860">
        <w:rPr>
          <w:rFonts w:cs="Times-Bold"/>
          <w:b/>
          <w:bCs/>
          <w:i/>
          <w:sz w:val="24"/>
          <w:szCs w:val="24"/>
          <w:lang w:val="it-IT"/>
        </w:rPr>
        <w:t xml:space="preserve">OPERAZIONI </w:t>
      </w:r>
      <w:proofErr w:type="spellStart"/>
      <w:r w:rsidRPr="00893860">
        <w:rPr>
          <w:rFonts w:cs="Times-Bold"/>
          <w:b/>
          <w:bCs/>
          <w:i/>
          <w:sz w:val="24"/>
          <w:szCs w:val="24"/>
          <w:lang w:val="it-IT"/>
        </w:rPr>
        <w:t>DI</w:t>
      </w:r>
      <w:proofErr w:type="spellEnd"/>
      <w:r w:rsidRPr="00893860">
        <w:rPr>
          <w:rFonts w:cs="Times-Bold"/>
          <w:b/>
          <w:bCs/>
          <w:i/>
          <w:sz w:val="24"/>
          <w:szCs w:val="24"/>
          <w:lang w:val="it-IT"/>
        </w:rPr>
        <w:t xml:space="preserve"> FUSIONE E CESSIONE</w:t>
      </w:r>
    </w:p>
    <w:p w:rsidR="00893860" w:rsidRDefault="00893860" w:rsidP="00281F5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  <w:lang w:val="it-IT"/>
        </w:rPr>
      </w:pPr>
    </w:p>
    <w:p w:rsidR="00281F53" w:rsidRPr="00893860" w:rsidRDefault="00281F53" w:rsidP="00B51AE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  <w:lang w:val="it-IT"/>
        </w:rPr>
      </w:pPr>
      <w:r w:rsidRPr="00893860">
        <w:rPr>
          <w:rFonts w:cs="Times-Bold"/>
          <w:b/>
          <w:bCs/>
          <w:sz w:val="24"/>
          <w:szCs w:val="24"/>
          <w:lang w:val="it-IT"/>
        </w:rPr>
        <w:t>Art. 33.</w:t>
      </w:r>
    </w:p>
    <w:p w:rsidR="00281F53" w:rsidRDefault="00281F53" w:rsidP="00B51AE9">
      <w:pPr>
        <w:autoSpaceDE w:val="0"/>
        <w:autoSpaceDN w:val="0"/>
        <w:adjustRightInd w:val="0"/>
        <w:spacing w:after="0" w:line="240" w:lineRule="auto"/>
        <w:jc w:val="center"/>
        <w:rPr>
          <w:rFonts w:cs="Times-Italic"/>
          <w:i/>
          <w:iCs/>
          <w:sz w:val="24"/>
          <w:szCs w:val="24"/>
          <w:lang w:val="it-IT"/>
        </w:rPr>
      </w:pPr>
      <w:r w:rsidRPr="00893860">
        <w:rPr>
          <w:rFonts w:cs="Times-Italic"/>
          <w:i/>
          <w:iCs/>
          <w:sz w:val="24"/>
          <w:szCs w:val="24"/>
          <w:lang w:val="it-IT"/>
        </w:rPr>
        <w:t>Operazioni di fusione tra fondi pensione negoziali o preesistenti</w:t>
      </w:r>
    </w:p>
    <w:p w:rsidR="00893860" w:rsidRPr="00893860" w:rsidRDefault="00893860" w:rsidP="00281F53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4"/>
          <w:lang w:val="it-IT"/>
        </w:rPr>
      </w:pPr>
    </w:p>
    <w:p w:rsidR="00281F53" w:rsidRPr="00893860" w:rsidRDefault="00281F53" w:rsidP="00893860">
      <w:pPr>
        <w:autoSpaceDE w:val="0"/>
        <w:autoSpaceDN w:val="0"/>
        <w:adjustRightInd w:val="0"/>
        <w:spacing w:after="60" w:line="240" w:lineRule="auto"/>
        <w:jc w:val="both"/>
        <w:rPr>
          <w:rFonts w:cs="Times-Roman"/>
          <w:sz w:val="24"/>
          <w:szCs w:val="24"/>
          <w:lang w:val="it-IT"/>
        </w:rPr>
      </w:pPr>
      <w:r w:rsidRPr="00893860">
        <w:rPr>
          <w:rFonts w:cs="Times-Roman"/>
          <w:sz w:val="24"/>
          <w:szCs w:val="24"/>
          <w:lang w:val="it-IT"/>
        </w:rPr>
        <w:t>1. Ciascun fondo pensione negoziale o preesistente che partecipa ad un’operazione di fusione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trasmette alla COVIP apposita comunicazione, a firma del legale rappresentante, almeno 60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giorni prima di sottoporre il progetto all’assemblea.</w:t>
      </w:r>
    </w:p>
    <w:p w:rsidR="00281F53" w:rsidRPr="00893860" w:rsidRDefault="00281F53" w:rsidP="00893860">
      <w:pPr>
        <w:autoSpaceDE w:val="0"/>
        <w:autoSpaceDN w:val="0"/>
        <w:adjustRightInd w:val="0"/>
        <w:spacing w:after="60" w:line="240" w:lineRule="auto"/>
        <w:jc w:val="both"/>
        <w:rPr>
          <w:rFonts w:cs="Times-Roman"/>
          <w:sz w:val="24"/>
          <w:szCs w:val="24"/>
          <w:lang w:val="it-IT"/>
        </w:rPr>
      </w:pPr>
      <w:r w:rsidRPr="00893860">
        <w:rPr>
          <w:rFonts w:cs="Times-Roman"/>
          <w:sz w:val="24"/>
          <w:szCs w:val="24"/>
          <w:lang w:val="it-IT"/>
        </w:rPr>
        <w:t>2. Alla comunicazione sono allegati i seguenti documenti:</w:t>
      </w:r>
    </w:p>
    <w:p w:rsidR="00281F53" w:rsidRPr="00893860" w:rsidRDefault="00281F53" w:rsidP="00893860">
      <w:p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cs="Times-Roman"/>
          <w:sz w:val="24"/>
          <w:szCs w:val="24"/>
          <w:lang w:val="it-IT"/>
        </w:rPr>
      </w:pPr>
      <w:r w:rsidRPr="00893860">
        <w:rPr>
          <w:rFonts w:cs="Times-Italic"/>
          <w:iCs/>
          <w:sz w:val="24"/>
          <w:szCs w:val="24"/>
          <w:lang w:val="it-IT"/>
        </w:rPr>
        <w:t>a</w:t>
      </w:r>
      <w:r w:rsidR="00893860" w:rsidRPr="00893860">
        <w:rPr>
          <w:rFonts w:cs="Times-Roman"/>
          <w:sz w:val="24"/>
          <w:szCs w:val="24"/>
          <w:lang w:val="it-IT"/>
        </w:rPr>
        <w:t>)</w:t>
      </w:r>
      <w:r w:rsidR="00893860" w:rsidRPr="00893860">
        <w:rPr>
          <w:rFonts w:cs="Times-Roman"/>
          <w:sz w:val="24"/>
          <w:szCs w:val="24"/>
          <w:lang w:val="it-IT"/>
        </w:rPr>
        <w:tab/>
      </w:r>
      <w:r w:rsidRPr="00893860">
        <w:rPr>
          <w:rFonts w:cs="Times-Roman"/>
          <w:sz w:val="24"/>
          <w:szCs w:val="24"/>
          <w:lang w:val="it-IT"/>
        </w:rPr>
        <w:t>copia della delibera di approvazione del progetto di fusione assunta dall’organo di amministrazione;</w:t>
      </w:r>
    </w:p>
    <w:p w:rsidR="00281F53" w:rsidRPr="00893860" w:rsidRDefault="00281F53" w:rsidP="0089386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Times-Italic"/>
          <w:iCs/>
          <w:sz w:val="24"/>
          <w:szCs w:val="24"/>
          <w:lang w:val="it-IT"/>
        </w:rPr>
      </w:pPr>
      <w:r w:rsidRPr="00893860">
        <w:rPr>
          <w:rFonts w:cs="Times-Italic"/>
          <w:iCs/>
          <w:sz w:val="24"/>
          <w:szCs w:val="24"/>
          <w:lang w:val="it-IT"/>
        </w:rPr>
        <w:t>b</w:t>
      </w:r>
      <w:r w:rsidR="00893860">
        <w:rPr>
          <w:rFonts w:cs="Times-Italic"/>
          <w:iCs/>
          <w:sz w:val="24"/>
          <w:szCs w:val="24"/>
          <w:lang w:val="it-IT"/>
        </w:rPr>
        <w:t>)</w:t>
      </w:r>
      <w:r w:rsidR="00893860">
        <w:rPr>
          <w:rFonts w:cs="Times-Italic"/>
          <w:iCs/>
          <w:sz w:val="24"/>
          <w:szCs w:val="24"/>
          <w:lang w:val="it-IT"/>
        </w:rPr>
        <w:tab/>
      </w:r>
      <w:r w:rsidRPr="00893860">
        <w:rPr>
          <w:rFonts w:cs="Times-Italic"/>
          <w:iCs/>
          <w:sz w:val="24"/>
          <w:szCs w:val="24"/>
          <w:lang w:val="it-IT"/>
        </w:rPr>
        <w:t>progetto di fusione contenente:</w:t>
      </w:r>
    </w:p>
    <w:p w:rsidR="00281F53" w:rsidRPr="00893860" w:rsidRDefault="00893860" w:rsidP="00893860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-Italic"/>
          <w:iCs/>
          <w:sz w:val="24"/>
          <w:szCs w:val="24"/>
          <w:lang w:val="it-IT"/>
        </w:rPr>
      </w:pPr>
      <w:r w:rsidRPr="00893860">
        <w:rPr>
          <w:rFonts w:cs="Times-Italic"/>
          <w:iCs/>
          <w:sz w:val="24"/>
          <w:szCs w:val="24"/>
          <w:lang w:val="it-IT"/>
        </w:rPr>
        <w:t>1)</w:t>
      </w:r>
      <w:r w:rsidRPr="00893860">
        <w:rPr>
          <w:rFonts w:cs="Times-Italic"/>
          <w:iCs/>
          <w:sz w:val="24"/>
          <w:szCs w:val="24"/>
          <w:lang w:val="it-IT"/>
        </w:rPr>
        <w:tab/>
      </w:r>
      <w:r w:rsidR="00281F53" w:rsidRPr="00893860">
        <w:rPr>
          <w:rFonts w:cs="Times-Italic"/>
          <w:iCs/>
          <w:sz w:val="24"/>
          <w:szCs w:val="24"/>
          <w:lang w:val="it-IT"/>
        </w:rPr>
        <w:t>denominazione e numero di iscrizione all’Albo dei fondi pensione interessati</w:t>
      </w:r>
      <w:r>
        <w:rPr>
          <w:rFonts w:cs="Times-Italic"/>
          <w:iCs/>
          <w:sz w:val="24"/>
          <w:szCs w:val="24"/>
          <w:lang w:val="it-IT"/>
        </w:rPr>
        <w:t xml:space="preserve"> </w:t>
      </w:r>
      <w:r w:rsidR="00281F53" w:rsidRPr="00893860">
        <w:rPr>
          <w:rFonts w:cs="Times-Italic"/>
          <w:iCs/>
          <w:sz w:val="24"/>
          <w:szCs w:val="24"/>
          <w:lang w:val="it-IT"/>
        </w:rPr>
        <w:t>all’operazione;</w:t>
      </w:r>
    </w:p>
    <w:p w:rsidR="00281F53" w:rsidRPr="00893860" w:rsidRDefault="00281F53" w:rsidP="00893860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-Italic"/>
          <w:iCs/>
          <w:sz w:val="24"/>
          <w:szCs w:val="24"/>
          <w:lang w:val="it-IT"/>
        </w:rPr>
      </w:pPr>
      <w:r w:rsidRPr="00893860">
        <w:rPr>
          <w:rFonts w:cs="Times-Italic"/>
          <w:iCs/>
          <w:sz w:val="24"/>
          <w:szCs w:val="24"/>
          <w:lang w:val="it-IT"/>
        </w:rPr>
        <w:t>2) eventuali modificazioni dell’atto costitutivo e dello statuto del fondo incorporante o statuto</w:t>
      </w:r>
      <w:r w:rsidR="00893860">
        <w:rPr>
          <w:rFonts w:cs="Times-Italic"/>
          <w:iCs/>
          <w:sz w:val="24"/>
          <w:szCs w:val="24"/>
          <w:lang w:val="it-IT"/>
        </w:rPr>
        <w:t xml:space="preserve"> </w:t>
      </w:r>
      <w:r w:rsidRPr="00893860">
        <w:rPr>
          <w:rFonts w:cs="Times-Italic"/>
          <w:iCs/>
          <w:sz w:val="24"/>
          <w:szCs w:val="24"/>
          <w:lang w:val="it-IT"/>
        </w:rPr>
        <w:t>del fondo risultante dalla fusione (in caso di fusione propria);</w:t>
      </w:r>
    </w:p>
    <w:p w:rsidR="00281F53" w:rsidRPr="00893860" w:rsidRDefault="00281F53" w:rsidP="00893860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-Italic"/>
          <w:iCs/>
          <w:sz w:val="24"/>
          <w:szCs w:val="24"/>
          <w:lang w:val="it-IT"/>
        </w:rPr>
      </w:pPr>
      <w:r w:rsidRPr="00893860">
        <w:rPr>
          <w:rFonts w:cs="Times-Italic"/>
          <w:iCs/>
          <w:sz w:val="24"/>
          <w:szCs w:val="24"/>
          <w:lang w:val="it-IT"/>
        </w:rPr>
        <w:t>3) obiettivi dell’operazione, vantaggi e costi per gli aderenti, impatto che l’operazione determina</w:t>
      </w:r>
      <w:r w:rsidR="00893860">
        <w:rPr>
          <w:rFonts w:cs="Times-Italic"/>
          <w:iCs/>
          <w:sz w:val="24"/>
          <w:szCs w:val="24"/>
          <w:lang w:val="it-IT"/>
        </w:rPr>
        <w:t xml:space="preserve"> </w:t>
      </w:r>
      <w:r w:rsidRPr="00893860">
        <w:rPr>
          <w:rFonts w:cs="Times-Italic"/>
          <w:iCs/>
          <w:sz w:val="24"/>
          <w:szCs w:val="24"/>
          <w:lang w:val="it-IT"/>
        </w:rPr>
        <w:t>sulle strutture organizzative, anche con riferimento alle procedure informatico</w:t>
      </w:r>
      <w:r w:rsidR="00893860">
        <w:rPr>
          <w:rFonts w:cs="Times-Italic"/>
          <w:iCs/>
          <w:sz w:val="24"/>
          <w:szCs w:val="24"/>
          <w:lang w:val="it-IT"/>
        </w:rPr>
        <w:t xml:space="preserve"> </w:t>
      </w:r>
      <w:r w:rsidRPr="00893860">
        <w:rPr>
          <w:rFonts w:cs="Times-Italic"/>
          <w:iCs/>
          <w:sz w:val="24"/>
          <w:szCs w:val="24"/>
          <w:lang w:val="it-IT"/>
        </w:rPr>
        <w:t>contabili</w:t>
      </w:r>
      <w:r w:rsidR="00893860">
        <w:rPr>
          <w:rFonts w:cs="Times-Italic"/>
          <w:iCs/>
          <w:sz w:val="24"/>
          <w:szCs w:val="24"/>
          <w:lang w:val="it-IT"/>
        </w:rPr>
        <w:t xml:space="preserve"> </w:t>
      </w:r>
      <w:r w:rsidRPr="00893860">
        <w:rPr>
          <w:rFonts w:cs="Times-Italic"/>
          <w:iCs/>
          <w:sz w:val="24"/>
          <w:szCs w:val="24"/>
          <w:lang w:val="it-IT"/>
        </w:rPr>
        <w:t>impiegate e al personale del fondo incorporante;</w:t>
      </w:r>
    </w:p>
    <w:p w:rsidR="00281F53" w:rsidRPr="00893860" w:rsidRDefault="00281F53" w:rsidP="00893860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-Italic"/>
          <w:iCs/>
          <w:sz w:val="24"/>
          <w:szCs w:val="24"/>
          <w:lang w:val="it-IT"/>
        </w:rPr>
      </w:pPr>
      <w:r w:rsidRPr="00893860">
        <w:rPr>
          <w:rFonts w:cs="Times-Italic"/>
          <w:iCs/>
          <w:sz w:val="24"/>
          <w:szCs w:val="24"/>
          <w:lang w:val="it-IT"/>
        </w:rPr>
        <w:t>4)</w:t>
      </w:r>
      <w:r w:rsidR="00893860">
        <w:rPr>
          <w:rFonts w:cs="Times-Italic"/>
          <w:iCs/>
          <w:sz w:val="24"/>
          <w:szCs w:val="24"/>
          <w:lang w:val="it-IT"/>
        </w:rPr>
        <w:t xml:space="preserve"> </w:t>
      </w:r>
      <w:r w:rsidRPr="00893860">
        <w:rPr>
          <w:rFonts w:cs="Times-Italic"/>
          <w:iCs/>
          <w:sz w:val="24"/>
          <w:szCs w:val="24"/>
          <w:lang w:val="it-IT"/>
        </w:rPr>
        <w:t>confronto tra le principali caratteristiche dei fondi interessati dall’operazione (ove</w:t>
      </w:r>
      <w:r w:rsidR="00893860">
        <w:rPr>
          <w:rFonts w:cs="Times-Italic"/>
          <w:iCs/>
          <w:sz w:val="24"/>
          <w:szCs w:val="24"/>
          <w:lang w:val="it-IT"/>
        </w:rPr>
        <w:t xml:space="preserve"> </w:t>
      </w:r>
      <w:r w:rsidRPr="00893860">
        <w:rPr>
          <w:rFonts w:cs="Times-Italic"/>
          <w:iCs/>
          <w:sz w:val="24"/>
          <w:szCs w:val="24"/>
          <w:lang w:val="it-IT"/>
        </w:rPr>
        <w:t>possibile,</w:t>
      </w:r>
      <w:r w:rsidR="00893860">
        <w:rPr>
          <w:rFonts w:cs="Times-Italic"/>
          <w:iCs/>
          <w:sz w:val="24"/>
          <w:szCs w:val="24"/>
          <w:lang w:val="it-IT"/>
        </w:rPr>
        <w:t xml:space="preserve"> </w:t>
      </w:r>
      <w:r w:rsidRPr="00893860">
        <w:rPr>
          <w:rFonts w:cs="Times-Italic"/>
          <w:iCs/>
          <w:sz w:val="24"/>
          <w:szCs w:val="24"/>
          <w:lang w:val="it-IT"/>
        </w:rPr>
        <w:t>in forma tabellare);</w:t>
      </w:r>
    </w:p>
    <w:p w:rsidR="00281F53" w:rsidRPr="00893860" w:rsidRDefault="00281F53" w:rsidP="00893860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-Italic"/>
          <w:iCs/>
          <w:sz w:val="24"/>
          <w:szCs w:val="24"/>
          <w:lang w:val="it-IT"/>
        </w:rPr>
      </w:pPr>
      <w:r w:rsidRPr="00893860">
        <w:rPr>
          <w:rFonts w:cs="Times-Italic"/>
          <w:iCs/>
          <w:sz w:val="24"/>
          <w:szCs w:val="24"/>
          <w:lang w:val="it-IT"/>
        </w:rPr>
        <w:t>5) descrizione delle modalità di realizzazione dell’operazione (ad es. tempistica, modalità di</w:t>
      </w:r>
      <w:r w:rsidR="00893860">
        <w:rPr>
          <w:rFonts w:cs="Times-Italic"/>
          <w:iCs/>
          <w:sz w:val="24"/>
          <w:szCs w:val="24"/>
          <w:lang w:val="it-IT"/>
        </w:rPr>
        <w:t xml:space="preserve"> </w:t>
      </w:r>
      <w:r w:rsidRPr="00893860">
        <w:rPr>
          <w:rFonts w:cs="Times-Italic"/>
          <w:iCs/>
          <w:sz w:val="24"/>
          <w:szCs w:val="24"/>
          <w:lang w:val="it-IT"/>
        </w:rPr>
        <w:t>fusione tra comparti e presidi volti alla verifica dei limiti di investimento dei comparti del</w:t>
      </w:r>
      <w:r w:rsidR="00893860">
        <w:rPr>
          <w:rFonts w:cs="Times-Italic"/>
          <w:iCs/>
          <w:sz w:val="24"/>
          <w:szCs w:val="24"/>
          <w:lang w:val="it-IT"/>
        </w:rPr>
        <w:t xml:space="preserve"> </w:t>
      </w:r>
      <w:r w:rsidRPr="00893860">
        <w:rPr>
          <w:rFonts w:cs="Times-Italic"/>
          <w:iCs/>
          <w:sz w:val="24"/>
          <w:szCs w:val="24"/>
          <w:lang w:val="it-IT"/>
        </w:rPr>
        <w:t>fondo incorporante o risultante dalla fusione, profili di tutela degli aderenti, anc</w:t>
      </w:r>
      <w:r w:rsidR="00893860">
        <w:rPr>
          <w:rFonts w:cs="Times-Italic"/>
          <w:iCs/>
          <w:sz w:val="24"/>
          <w:szCs w:val="24"/>
          <w:lang w:val="it-IT"/>
        </w:rPr>
        <w:t>he con riferi</w:t>
      </w:r>
      <w:r w:rsidRPr="00893860">
        <w:rPr>
          <w:rFonts w:cs="Times-Italic"/>
          <w:iCs/>
          <w:sz w:val="24"/>
          <w:szCs w:val="24"/>
          <w:lang w:val="it-IT"/>
        </w:rPr>
        <w:t>mento alle tutele riconosciute agli iscritti a eventuali comparti garantiti del fondo incorporando);</w:t>
      </w:r>
    </w:p>
    <w:p w:rsidR="00281F53" w:rsidRPr="00893860" w:rsidRDefault="00281F53" w:rsidP="00893860">
      <w:pPr>
        <w:autoSpaceDE w:val="0"/>
        <w:autoSpaceDN w:val="0"/>
        <w:adjustRightInd w:val="0"/>
        <w:spacing w:after="60" w:line="240" w:lineRule="auto"/>
        <w:ind w:left="850" w:hanging="425"/>
        <w:jc w:val="both"/>
        <w:rPr>
          <w:rFonts w:cs="Times-Italic"/>
          <w:iCs/>
          <w:sz w:val="24"/>
          <w:szCs w:val="24"/>
          <w:lang w:val="it-IT"/>
        </w:rPr>
      </w:pPr>
      <w:r w:rsidRPr="00893860">
        <w:rPr>
          <w:rFonts w:cs="Times-Italic"/>
          <w:iCs/>
          <w:sz w:val="24"/>
          <w:szCs w:val="24"/>
          <w:lang w:val="it-IT"/>
        </w:rPr>
        <w:t>c)</w:t>
      </w:r>
      <w:r w:rsidR="00893860">
        <w:rPr>
          <w:rFonts w:cs="Times-Italic"/>
          <w:iCs/>
          <w:sz w:val="24"/>
          <w:szCs w:val="24"/>
          <w:lang w:val="it-IT"/>
        </w:rPr>
        <w:tab/>
      </w:r>
      <w:r w:rsidRPr="00893860">
        <w:rPr>
          <w:rFonts w:cs="Times-Italic"/>
          <w:iCs/>
          <w:sz w:val="24"/>
          <w:szCs w:val="24"/>
          <w:lang w:val="it-IT"/>
        </w:rPr>
        <w:t>relazione del responsabile del fondo pensione contenente le valutazioni effettuate</w:t>
      </w:r>
      <w:r w:rsidR="00893860">
        <w:rPr>
          <w:rFonts w:cs="Times-Italic"/>
          <w:iCs/>
          <w:sz w:val="24"/>
          <w:szCs w:val="24"/>
          <w:lang w:val="it-IT"/>
        </w:rPr>
        <w:t xml:space="preserve"> </w:t>
      </w:r>
      <w:r w:rsidRPr="00893860">
        <w:rPr>
          <w:rFonts w:cs="Times-Italic"/>
          <w:iCs/>
          <w:sz w:val="24"/>
          <w:szCs w:val="24"/>
          <w:lang w:val="it-IT"/>
        </w:rPr>
        <w:t>sull’operazione, in termini di impatto sugli aderenti e di presidi posti a tutela degli stessi.</w:t>
      </w:r>
    </w:p>
    <w:p w:rsidR="00281F53" w:rsidRPr="00893860" w:rsidRDefault="00281F53" w:rsidP="00893860">
      <w:pPr>
        <w:autoSpaceDE w:val="0"/>
        <w:autoSpaceDN w:val="0"/>
        <w:adjustRightInd w:val="0"/>
        <w:spacing w:after="60" w:line="240" w:lineRule="auto"/>
        <w:jc w:val="both"/>
        <w:rPr>
          <w:rFonts w:cs="Times-Roman"/>
          <w:sz w:val="24"/>
          <w:szCs w:val="24"/>
          <w:lang w:val="it-IT"/>
        </w:rPr>
      </w:pPr>
      <w:r w:rsidRPr="00893860">
        <w:rPr>
          <w:rFonts w:cs="Times-Roman"/>
          <w:sz w:val="24"/>
          <w:szCs w:val="24"/>
          <w:lang w:val="it-IT"/>
        </w:rPr>
        <w:t>3. Copia del progetto di fusione e della relativa documentazione è depositata presso la sede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del fondo nei 30 giorni che precedono l’assemblea e finché la fusione non sia deliberata.</w:t>
      </w:r>
    </w:p>
    <w:p w:rsidR="00281F53" w:rsidRPr="00893860" w:rsidRDefault="00281F53" w:rsidP="00893860">
      <w:pPr>
        <w:autoSpaceDE w:val="0"/>
        <w:autoSpaceDN w:val="0"/>
        <w:adjustRightInd w:val="0"/>
        <w:spacing w:after="60" w:line="240" w:lineRule="auto"/>
        <w:jc w:val="both"/>
        <w:rPr>
          <w:rFonts w:cs="Times-Roman"/>
          <w:sz w:val="24"/>
          <w:szCs w:val="24"/>
          <w:lang w:val="it-IT"/>
        </w:rPr>
      </w:pPr>
      <w:r w:rsidRPr="00893860">
        <w:rPr>
          <w:rFonts w:cs="Times-Roman"/>
          <w:sz w:val="24"/>
          <w:szCs w:val="24"/>
          <w:lang w:val="it-IT"/>
        </w:rPr>
        <w:lastRenderedPageBreak/>
        <w:t>4. Una volta intervenuta l’approvazione del progetto di fusione da parte delle assemblee i fondi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interessati dall’operazione o, in caso di incorporazione il fondo incorporante, provvedono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ad inoltrare alla COVIP istanza di approvazione delle eventuali modifiche statutarie, ovvero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comunicazione inerente l’avvenuta delibera di modifica, in conformità alle previsioni contenute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nella Sezione I, Titolo II (fondi negoziali) e nella Sezione IV (fondi pensione preesistenti)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del presente Regolamento.</w:t>
      </w:r>
    </w:p>
    <w:p w:rsidR="00281F53" w:rsidRPr="00893860" w:rsidRDefault="00281F53" w:rsidP="00893860">
      <w:pPr>
        <w:autoSpaceDE w:val="0"/>
        <w:autoSpaceDN w:val="0"/>
        <w:adjustRightInd w:val="0"/>
        <w:spacing w:after="60" w:line="240" w:lineRule="auto"/>
        <w:jc w:val="both"/>
        <w:rPr>
          <w:rFonts w:cs="Times-Roman"/>
          <w:sz w:val="24"/>
          <w:szCs w:val="24"/>
          <w:lang w:val="it-IT"/>
        </w:rPr>
      </w:pPr>
      <w:r w:rsidRPr="00893860">
        <w:rPr>
          <w:rFonts w:cs="Times-Roman"/>
          <w:sz w:val="24"/>
          <w:szCs w:val="24"/>
          <w:lang w:val="it-IT"/>
        </w:rPr>
        <w:t>5. I fondi danno corso agli ulteriori adempimenti necessari per la realizzazione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dell’operazione di fusione dopo aver acquisito l’approvazione delle modifiche statutarie o avere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effettuato, nei casi previsti, la comunicazione delle modifiche adottate.</w:t>
      </w:r>
    </w:p>
    <w:p w:rsidR="00281F53" w:rsidRPr="00893860" w:rsidRDefault="00281F53" w:rsidP="00893860">
      <w:pPr>
        <w:autoSpaceDE w:val="0"/>
        <w:autoSpaceDN w:val="0"/>
        <w:adjustRightInd w:val="0"/>
        <w:spacing w:after="60" w:line="240" w:lineRule="auto"/>
        <w:jc w:val="both"/>
        <w:rPr>
          <w:rFonts w:cs="Times-Roman"/>
          <w:sz w:val="24"/>
          <w:szCs w:val="24"/>
          <w:lang w:val="it-IT"/>
        </w:rPr>
      </w:pPr>
      <w:r w:rsidRPr="00893860">
        <w:rPr>
          <w:rFonts w:cs="Times-Roman"/>
          <w:sz w:val="24"/>
          <w:szCs w:val="24"/>
          <w:lang w:val="it-IT"/>
        </w:rPr>
        <w:t>6. A esito dell’operazione è trasmessa alla COVIP apposita comunicazione, a firma del legale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rappresentante, attestante la data di efficacia della fusione e gli adempimenti effettuati a seguito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della stessa, anche con riferimento all’avvenuta comunicazione dell’operazione agli iscritti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contenente, qualora l’operazione dia luogo all’attribuzione o conversione di quote, anche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il numero e il valore delle quote del fondo incorporante attribuite. Alla comunicazione è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allegata copia dell’atto di fusione.</w:t>
      </w:r>
    </w:p>
    <w:p w:rsidR="00893860" w:rsidRDefault="00281F53" w:rsidP="00893860">
      <w:pPr>
        <w:autoSpaceDE w:val="0"/>
        <w:autoSpaceDN w:val="0"/>
        <w:adjustRightInd w:val="0"/>
        <w:spacing w:after="60" w:line="240" w:lineRule="auto"/>
        <w:jc w:val="both"/>
        <w:rPr>
          <w:rFonts w:cs="Times-Roman"/>
          <w:sz w:val="24"/>
          <w:szCs w:val="24"/>
          <w:lang w:val="it-IT"/>
        </w:rPr>
      </w:pPr>
      <w:r w:rsidRPr="00893860">
        <w:rPr>
          <w:rFonts w:cs="Times-Roman"/>
          <w:sz w:val="24"/>
          <w:szCs w:val="24"/>
          <w:lang w:val="it-IT"/>
        </w:rPr>
        <w:t>7. Le disposizioni di cui ai precedenti commi, riguardanti in particolare i fondi costituiti in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forma associativa, si applicano anche ai fondi pensione aventi una diversa natura giuridica,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 xml:space="preserve">per quanto compatibili con i relativi assetti </w:t>
      </w:r>
      <w:proofErr w:type="spellStart"/>
      <w:r w:rsidRPr="00893860">
        <w:rPr>
          <w:rFonts w:cs="Times-Roman"/>
          <w:sz w:val="24"/>
          <w:szCs w:val="24"/>
          <w:lang w:val="it-IT"/>
        </w:rPr>
        <w:t>ordinamentali</w:t>
      </w:r>
      <w:proofErr w:type="spellEnd"/>
      <w:r w:rsidRPr="00893860">
        <w:rPr>
          <w:rFonts w:cs="Times-Roman"/>
          <w:sz w:val="24"/>
          <w:szCs w:val="24"/>
          <w:lang w:val="it-IT"/>
        </w:rPr>
        <w:t>.</w:t>
      </w:r>
      <w:r w:rsidR="00893860">
        <w:rPr>
          <w:rFonts w:cs="Times-Roman"/>
          <w:sz w:val="24"/>
          <w:szCs w:val="24"/>
          <w:lang w:val="it-IT"/>
        </w:rPr>
        <w:t xml:space="preserve"> </w:t>
      </w:r>
    </w:p>
    <w:p w:rsidR="008733E6" w:rsidRPr="00893860" w:rsidRDefault="00281F53" w:rsidP="00893860">
      <w:pPr>
        <w:autoSpaceDE w:val="0"/>
        <w:autoSpaceDN w:val="0"/>
        <w:adjustRightInd w:val="0"/>
        <w:spacing w:after="60" w:line="240" w:lineRule="auto"/>
        <w:jc w:val="both"/>
        <w:rPr>
          <w:rFonts w:cs="Times-Roman"/>
          <w:sz w:val="24"/>
          <w:szCs w:val="24"/>
          <w:lang w:val="it-IT"/>
        </w:rPr>
      </w:pPr>
      <w:r w:rsidRPr="00893860">
        <w:rPr>
          <w:rFonts w:cs="Times-Roman"/>
          <w:sz w:val="24"/>
          <w:szCs w:val="24"/>
          <w:lang w:val="it-IT"/>
        </w:rPr>
        <w:t>8. Successivamente alla fusione la COVIP provvede alla cancellazione del fondo incorporato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dall’Albo di cui all’art. 19, comma 1 del decreto n. 252 del 2005 e, nel caso in cui il fondo incorporato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risulti dotato di personalità giuridica, dal Registro dei fondi pensione dotati di personalità</w:t>
      </w:r>
      <w:r w:rsidR="00893860">
        <w:rPr>
          <w:rFonts w:cs="Times-Roman"/>
          <w:sz w:val="24"/>
          <w:szCs w:val="24"/>
          <w:lang w:val="it-IT"/>
        </w:rPr>
        <w:t xml:space="preserve"> </w:t>
      </w:r>
      <w:r w:rsidRPr="00893860">
        <w:rPr>
          <w:rFonts w:cs="Times-Roman"/>
          <w:sz w:val="24"/>
          <w:szCs w:val="24"/>
          <w:lang w:val="it-IT"/>
        </w:rPr>
        <w:t>giuridica.</w:t>
      </w:r>
    </w:p>
    <w:sectPr w:rsidR="008733E6" w:rsidRPr="00893860" w:rsidSect="008733E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81F53"/>
    <w:rsid w:val="000034B5"/>
    <w:rsid w:val="00091EDB"/>
    <w:rsid w:val="00281F53"/>
    <w:rsid w:val="008733E6"/>
    <w:rsid w:val="00893860"/>
    <w:rsid w:val="00B51AE9"/>
    <w:rsid w:val="00E31E6A"/>
    <w:rsid w:val="00FC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3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3507</Characters>
  <Application>Microsoft Office Word</Application>
  <DocSecurity>0</DocSecurity>
  <Lines>29</Lines>
  <Paragraphs>8</Paragraphs>
  <ScaleCrop>false</ScaleCrop>
  <Company>UBI Banca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 Sistemi e Servizi</dc:creator>
  <cp:keywords/>
  <dc:description/>
  <cp:lastModifiedBy>UBI Sistemi e Servizi</cp:lastModifiedBy>
  <cp:revision>5</cp:revision>
  <cp:lastPrinted>2013-04-19T13:59:00Z</cp:lastPrinted>
  <dcterms:created xsi:type="dcterms:W3CDTF">2013-04-19T13:34:00Z</dcterms:created>
  <dcterms:modified xsi:type="dcterms:W3CDTF">2013-04-23T17:44:00Z</dcterms:modified>
</cp:coreProperties>
</file>